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73" w:rsidRDefault="00375973" w:rsidP="00375973">
      <w:pPr>
        <w:spacing w:after="240" w:line="480" w:lineRule="auto"/>
        <w:ind w:firstLine="720"/>
      </w:pPr>
    </w:p>
    <w:p w:rsidR="00375973" w:rsidRDefault="00375973" w:rsidP="00375973">
      <w:pPr>
        <w:spacing w:after="240" w:line="480" w:lineRule="auto"/>
        <w:ind w:firstLine="720"/>
      </w:pPr>
    </w:p>
    <w:p w:rsidR="00375973" w:rsidRDefault="00375973" w:rsidP="00375973">
      <w:pPr>
        <w:spacing w:after="240" w:line="480" w:lineRule="auto"/>
        <w:ind w:firstLine="720"/>
      </w:pPr>
    </w:p>
    <w:p w:rsidR="00375973" w:rsidRDefault="00375973" w:rsidP="00375973">
      <w:pPr>
        <w:spacing w:after="240" w:line="480" w:lineRule="auto"/>
        <w:ind w:firstLine="720"/>
      </w:pPr>
    </w:p>
    <w:p w:rsidR="00D150BA" w:rsidRPr="00D150BA" w:rsidRDefault="00D150BA" w:rsidP="00D150BA">
      <w:pPr>
        <w:spacing w:after="240" w:line="480" w:lineRule="auto"/>
        <w:jc w:val="center"/>
      </w:pPr>
      <w:r w:rsidRPr="00D150BA">
        <w:t>Improving Community Health through Urban Planning</w:t>
      </w:r>
    </w:p>
    <w:p w:rsidR="00375973" w:rsidRPr="00E943DF" w:rsidRDefault="00375973" w:rsidP="00D150BA">
      <w:pPr>
        <w:spacing w:line="480" w:lineRule="auto"/>
        <w:jc w:val="center"/>
      </w:pPr>
      <w:r w:rsidRPr="00E943DF">
        <w:t>Student’s Name</w:t>
      </w:r>
    </w:p>
    <w:p w:rsidR="00375973" w:rsidRPr="00E943DF" w:rsidRDefault="00375973" w:rsidP="00D150BA">
      <w:pPr>
        <w:spacing w:line="480" w:lineRule="auto"/>
        <w:jc w:val="center"/>
      </w:pPr>
      <w:r w:rsidRPr="00E943DF">
        <w:t>Institutional Affiliation</w:t>
      </w:r>
    </w:p>
    <w:p w:rsidR="00375973" w:rsidRPr="00E943DF" w:rsidRDefault="00375973" w:rsidP="00D150BA">
      <w:pPr>
        <w:spacing w:line="480" w:lineRule="auto"/>
        <w:jc w:val="center"/>
      </w:pPr>
      <w:r w:rsidRPr="00E943DF">
        <w:t>Course Code and Number</w:t>
      </w:r>
    </w:p>
    <w:p w:rsidR="00375973" w:rsidRPr="00E943DF" w:rsidRDefault="00375973" w:rsidP="00D150BA">
      <w:pPr>
        <w:spacing w:line="480" w:lineRule="auto"/>
        <w:jc w:val="center"/>
      </w:pPr>
      <w:r w:rsidRPr="00E943DF">
        <w:t>Instructor’s Name</w:t>
      </w:r>
    </w:p>
    <w:p w:rsidR="00375973" w:rsidRPr="00E943DF" w:rsidRDefault="00375973" w:rsidP="00D150BA">
      <w:pPr>
        <w:spacing w:line="480" w:lineRule="auto"/>
        <w:jc w:val="center"/>
      </w:pPr>
      <w:r w:rsidRPr="00E943DF">
        <w:t>Date</w:t>
      </w:r>
    </w:p>
    <w:p w:rsidR="00375973" w:rsidRDefault="00375973" w:rsidP="00375973">
      <w:pPr>
        <w:spacing w:after="240" w:line="480" w:lineRule="auto"/>
        <w:ind w:firstLine="720"/>
      </w:pPr>
    </w:p>
    <w:p w:rsidR="00375973" w:rsidRDefault="00375973" w:rsidP="00375973">
      <w:pPr>
        <w:spacing w:after="240" w:line="480" w:lineRule="auto"/>
        <w:ind w:firstLine="720"/>
      </w:pPr>
    </w:p>
    <w:p w:rsidR="00375973" w:rsidRDefault="00375973" w:rsidP="00375973">
      <w:pPr>
        <w:spacing w:after="240" w:line="480" w:lineRule="auto"/>
        <w:ind w:firstLine="720"/>
      </w:pPr>
    </w:p>
    <w:p w:rsidR="00375973" w:rsidRDefault="00375973" w:rsidP="00375973">
      <w:pPr>
        <w:spacing w:after="240" w:line="480" w:lineRule="auto"/>
        <w:ind w:firstLine="720"/>
      </w:pPr>
    </w:p>
    <w:p w:rsidR="00375973" w:rsidRDefault="00375973" w:rsidP="00375973">
      <w:pPr>
        <w:spacing w:after="240" w:line="480" w:lineRule="auto"/>
      </w:pPr>
    </w:p>
    <w:p w:rsidR="00375973" w:rsidRDefault="00375973" w:rsidP="00375973">
      <w:pPr>
        <w:spacing w:after="240" w:line="480" w:lineRule="auto"/>
        <w:ind w:firstLine="720"/>
      </w:pPr>
    </w:p>
    <w:p w:rsidR="00375973" w:rsidRDefault="00375973" w:rsidP="00375973">
      <w:pPr>
        <w:spacing w:after="240" w:line="480" w:lineRule="auto"/>
        <w:ind w:firstLine="720"/>
      </w:pPr>
    </w:p>
    <w:p w:rsidR="00D150BA" w:rsidRDefault="00D150BA">
      <w:r>
        <w:lastRenderedPageBreak/>
        <w:br w:type="page"/>
      </w:r>
    </w:p>
    <w:p w:rsidR="00D150BA" w:rsidRPr="00D150BA" w:rsidRDefault="00D150BA" w:rsidP="00D150BA">
      <w:pPr>
        <w:spacing w:after="240" w:line="480" w:lineRule="auto"/>
        <w:jc w:val="center"/>
        <w:rPr>
          <w:b/>
        </w:rPr>
      </w:pPr>
      <w:r>
        <w:rPr>
          <w:b/>
        </w:rPr>
        <w:t>Improving Community Health through Urban Planning</w:t>
      </w:r>
    </w:p>
    <w:p w:rsidR="00375973" w:rsidRDefault="00FD7F79" w:rsidP="00375973">
      <w:pPr>
        <w:spacing w:after="240" w:line="480" w:lineRule="auto"/>
        <w:ind w:firstLine="720"/>
      </w:pPr>
      <w:r>
        <w:t xml:space="preserve">Implementing measures to address health disparities and improve health care in a community can help ensure all people have an opportunity for long and healthy lives. Community workers and public professionals ought to implement policies and strategies to reduce health disparities, improve the health of people and address social-economic factors such as community safety that affect how long individuals live in a community. Health disparities have been a complex problem affecting various communities adversely, especially groups of people experiencing an obstacle to health based on their ethnic and racial groups. Also, geographic location contributes to people's ability to achieve good health in a community. </w:t>
      </w:r>
      <w:r w:rsidR="00001183">
        <w:t>Therefore,</w:t>
      </w:r>
      <w:r>
        <w:t xml:space="preserve"> urban planning is a significant measure that can help improve the health of individuals and reduce health disparities.</w:t>
      </w:r>
    </w:p>
    <w:p w:rsidR="00027AD0" w:rsidRDefault="00FD7F79" w:rsidP="00375973">
      <w:pPr>
        <w:spacing w:after="240" w:line="480" w:lineRule="auto"/>
        <w:ind w:firstLine="720"/>
      </w:pPr>
      <w:r>
        <w:t xml:space="preserve"> Also, urban planning incorporated with community development is crucial in addressing social-economic problems such as health safety in a community. Acquisition of new urbanism principle yields a multiple of health benefits, most vital being physical </w:t>
      </w:r>
      <w:r w:rsidR="00375973">
        <w:t>activity (</w:t>
      </w:r>
      <w:r w:rsidR="00375973">
        <w:rPr>
          <w:rStyle w:val="hlfld-contribauthor"/>
        </w:rPr>
        <w:t>Laverly at al., 2018)</w:t>
      </w:r>
      <w:r>
        <w:t>. The benefits are based on urban design elements that enhance increased non-motorized and public transit modes, thus reducing private automobiles' use. Therefore, urban planning and developments will enable walkable blocks and streets and accessible public space to enhance physical activities.</w:t>
      </w:r>
    </w:p>
    <w:p w:rsidR="00027AD0" w:rsidRDefault="00FD7F79" w:rsidP="00375973">
      <w:pPr>
        <w:spacing w:before="240" w:after="240" w:line="480" w:lineRule="auto"/>
        <w:ind w:firstLine="720"/>
      </w:pPr>
      <w:r>
        <w:t xml:space="preserve">Physical inactivity is one of the leading causes of morbidity and mortality in the world. As such, it laces a considerable burden to the health care system. It is associated with various systemic: chronic diseases and adverse health conditions. The World Health Organization identified physical inactivity as the leading factor for mortality, resulting in approximately 3.2 death worldwide. Therefore, urban planning is a crucial measure to help counter the inactivity levels in most communities to enhance health and reduce instances of death. The Michigan Land </w:t>
      </w:r>
      <w:r>
        <w:lastRenderedPageBreak/>
        <w:t>Use Institute highlights urban principles and developments aimed at reducing health disparities and enhancing lives. The principles include walkability, access to public space, connectivity, increased density, smart transportation, and sustainability. The above measures interconnect to improve physical exercises in a community with enhancing public health and wellness. Moreover, interconnection of streets, safe non-motorized as well as public-transit networks all are principles predicated to enhance health and improve social-economic factors such as health safety in a community.</w:t>
      </w:r>
    </w:p>
    <w:p w:rsidR="00027AD0" w:rsidRDefault="00FD7F79" w:rsidP="00375973">
      <w:pPr>
        <w:spacing w:before="240" w:after="240" w:line="480" w:lineRule="auto"/>
        <w:ind w:firstLine="720"/>
      </w:pPr>
      <w:r>
        <w:t xml:space="preserve">Further, for effective urban planning, gridded networks, and smaller blocks are needed, enhanced more intersections allowing pedestrians to walk a variety of routes from origin to destination. The networks provide a </w:t>
      </w:r>
      <w:r w:rsidR="00001183">
        <w:t>promoter</w:t>
      </w:r>
      <w:r>
        <w:t xml:space="preserve"> effect on health as well as the well-being of people in a community. Research counts for higher incidents of obesity and prevalence of type2 diabetes having lower CI values, and therefore calling fo</w:t>
      </w:r>
      <w:r w:rsidR="00375973">
        <w:t>r automobile transportation. A</w:t>
      </w:r>
      <w:r>
        <w:t xml:space="preserve"> research conducted in Ontario, Canada,</w:t>
      </w:r>
      <w:r w:rsidR="00375973">
        <w:t xml:space="preserve"> by </w:t>
      </w:r>
      <w:r w:rsidR="00375973">
        <w:rPr>
          <w:rStyle w:val="hlfld-contribauthor"/>
        </w:rPr>
        <w:t>Sal</w:t>
      </w:r>
      <w:r w:rsidR="00001183">
        <w:rPr>
          <w:rStyle w:val="hlfld-contribauthor"/>
        </w:rPr>
        <w:t>lis et al.</w:t>
      </w:r>
      <w:r w:rsidR="00375973">
        <w:rPr>
          <w:rStyle w:val="hlfld-contribauthor"/>
        </w:rPr>
        <w:t xml:space="preserve"> (2016),</w:t>
      </w:r>
      <w:r>
        <w:t xml:space="preserve"> shows a relation between a higher and safe walkability neighborhood with a reduced prevalence of obesity and diabetes.</w:t>
      </w:r>
      <w:r w:rsidR="00001183">
        <w:t xml:space="preserve"> According to Katapally et al. (2018)</w:t>
      </w:r>
      <w:r>
        <w:t>, small blocks size and a dense grid network offer a conducive environment for walkability and access to public space that reinforce physical activities.</w:t>
      </w:r>
    </w:p>
    <w:p w:rsidR="00375973" w:rsidRDefault="00FD7F79">
      <w:pPr>
        <w:spacing w:before="240" w:after="240" w:line="480" w:lineRule="auto"/>
        <w:ind w:firstLine="720"/>
      </w:pPr>
      <w:r>
        <w:t>For proper urban planning, the government should be at the forefront of implementing the mentioned principles to allow public space to walk and do physical activities. The health benefits arise with the mixed-use developments attributable to walking and riding a bicycle. Government should ensure that a community has a high-density development, more mixed-use land walk/cycle, more excellent connectivity for utilitarian purposes. Besides, urban planners and community designers such as engineers and architects all have a role in contributing urban planning to public health. They ought to aim at bridging the broader urban planning and practitioner worlds. There should determine environmental barriers and facilitators that affect activity levels, including designing, constructing, and sustaining a safe and accessible environment. Ultimately, urban planning measures help increase physical activities and ensure individuals are safe and have accessible areas. As a result, the health and vitality of the community are enhanced.</w:t>
      </w: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pPr>
        <w:spacing w:before="240" w:after="240" w:line="480" w:lineRule="auto"/>
        <w:ind w:firstLine="720"/>
      </w:pPr>
    </w:p>
    <w:p w:rsidR="00375973" w:rsidRDefault="00375973" w:rsidP="00001183">
      <w:pPr>
        <w:spacing w:before="240" w:after="240" w:line="480" w:lineRule="auto"/>
        <w:jc w:val="center"/>
      </w:pPr>
      <w:r>
        <w:t>References</w:t>
      </w:r>
    </w:p>
    <w:p w:rsidR="00375973" w:rsidRDefault="00375973" w:rsidP="00375973">
      <w:pPr>
        <w:spacing w:line="480" w:lineRule="auto"/>
        <w:ind w:left="720" w:hanging="720"/>
      </w:pPr>
      <w:r>
        <w:rPr>
          <w:rStyle w:val="hlfld-contribauthor"/>
        </w:rPr>
        <w:t xml:space="preserve">Katapally, </w:t>
      </w:r>
      <w:r>
        <w:rPr>
          <w:rStyle w:val="nlmgiven-names"/>
        </w:rPr>
        <w:t>T. R.</w:t>
      </w:r>
      <w:r>
        <w:t xml:space="preserve">, </w:t>
      </w:r>
      <w:r>
        <w:rPr>
          <w:rStyle w:val="nlmgiven-names"/>
        </w:rPr>
        <w:t>J.</w:t>
      </w:r>
      <w:r>
        <w:rPr>
          <w:rStyle w:val="hlfld-contribauthor"/>
        </w:rPr>
        <w:t xml:space="preserve"> Bhawra</w:t>
      </w:r>
      <w:r>
        <w:t xml:space="preserve">, </w:t>
      </w:r>
      <w:r>
        <w:rPr>
          <w:rStyle w:val="nlmgiven-names"/>
        </w:rPr>
        <w:t>S. T.</w:t>
      </w:r>
      <w:r>
        <w:rPr>
          <w:rStyle w:val="hlfld-contribauthor"/>
        </w:rPr>
        <w:t xml:space="preserve"> Leatherdale</w:t>
      </w:r>
      <w:r>
        <w:t xml:space="preserve">, </w:t>
      </w:r>
      <w:r>
        <w:rPr>
          <w:rStyle w:val="nlmgiven-names"/>
        </w:rPr>
        <w:t>L.</w:t>
      </w:r>
      <w:r>
        <w:rPr>
          <w:rStyle w:val="hlfld-contribauthor"/>
        </w:rPr>
        <w:t xml:space="preserve"> Ferguson</w:t>
      </w:r>
      <w:r>
        <w:t xml:space="preserve">, </w:t>
      </w:r>
      <w:r>
        <w:rPr>
          <w:rStyle w:val="nlmgiven-names"/>
        </w:rPr>
        <w:t>J.</w:t>
      </w:r>
      <w:r>
        <w:rPr>
          <w:rStyle w:val="hlfld-contribauthor"/>
        </w:rPr>
        <w:t xml:space="preserve"> Longo</w:t>
      </w:r>
      <w:r>
        <w:t xml:space="preserve">, </w:t>
      </w:r>
      <w:r>
        <w:rPr>
          <w:rStyle w:val="nlmgiven-names"/>
        </w:rPr>
        <w:t>D.</w:t>
      </w:r>
      <w:r>
        <w:rPr>
          <w:rStyle w:val="hlfld-contribauthor"/>
        </w:rPr>
        <w:t xml:space="preserve"> Rainham</w:t>
      </w:r>
      <w:r>
        <w:t xml:space="preserve">, </w:t>
      </w:r>
      <w:r>
        <w:rPr>
          <w:rStyle w:val="nlmgiven-names"/>
        </w:rPr>
        <w:t>R.</w:t>
      </w:r>
      <w:r>
        <w:rPr>
          <w:rStyle w:val="hlfld-contribauthor"/>
        </w:rPr>
        <w:t xml:space="preserve"> Larouche</w:t>
      </w:r>
      <w:r>
        <w:t xml:space="preserve">, and </w:t>
      </w:r>
      <w:r>
        <w:rPr>
          <w:rStyle w:val="nlmgiven-names"/>
        </w:rPr>
        <w:t>N.</w:t>
      </w:r>
      <w:r>
        <w:rPr>
          <w:rStyle w:val="hlfld-contribauthor"/>
        </w:rPr>
        <w:t xml:space="preserve"> Osgood</w:t>
      </w:r>
      <w:r>
        <w:t>. (</w:t>
      </w:r>
      <w:r>
        <w:rPr>
          <w:rStyle w:val="nlmyear"/>
        </w:rPr>
        <w:t>2018)</w:t>
      </w:r>
      <w:r>
        <w:t>. “</w:t>
      </w:r>
      <w:r>
        <w:rPr>
          <w:rStyle w:val="nlmarticle-title"/>
        </w:rPr>
        <w:t>The SMART Study, a Mobile Health and Citizen Science Methodological Platform for Active Living Surveillance, Integrated Knowledge Translation, and Policy Interventions: Longitudinal Study</w:t>
      </w:r>
      <w:r>
        <w:t xml:space="preserve">.” </w:t>
      </w:r>
      <w:r>
        <w:rPr>
          <w:i/>
          <w:iCs/>
        </w:rPr>
        <w:t>JMIR Public Health Surveil</w:t>
      </w:r>
      <w:r>
        <w:t xml:space="preserve"> 4 (1): </w:t>
      </w:r>
      <w:r>
        <w:rPr>
          <w:rStyle w:val="nlmfpage"/>
        </w:rPr>
        <w:t>e31</w:t>
      </w:r>
      <w:r>
        <w:t>.</w:t>
      </w:r>
    </w:p>
    <w:p w:rsidR="00375973" w:rsidRDefault="00375973" w:rsidP="00375973">
      <w:pPr>
        <w:spacing w:line="480" w:lineRule="auto"/>
        <w:ind w:left="720" w:hanging="720"/>
      </w:pPr>
      <w:r>
        <w:rPr>
          <w:rStyle w:val="hlfld-contribauthor"/>
        </w:rPr>
        <w:t xml:space="preserve">Laverly, </w:t>
      </w:r>
      <w:r>
        <w:rPr>
          <w:rStyle w:val="nlmgiven-names"/>
        </w:rPr>
        <w:t>A. A.</w:t>
      </w:r>
      <w:r>
        <w:t xml:space="preserve">, </w:t>
      </w:r>
      <w:r>
        <w:rPr>
          <w:rStyle w:val="nlmgiven-names"/>
        </w:rPr>
        <w:t>E.</w:t>
      </w:r>
      <w:r>
        <w:rPr>
          <w:rStyle w:val="hlfld-contribauthor"/>
        </w:rPr>
        <w:t xml:space="preserve"> Webb</w:t>
      </w:r>
      <w:r>
        <w:t xml:space="preserve">, </w:t>
      </w:r>
      <w:r>
        <w:rPr>
          <w:rStyle w:val="nlmgiven-names"/>
        </w:rPr>
        <w:t>E. P.</w:t>
      </w:r>
      <w:r>
        <w:rPr>
          <w:rStyle w:val="hlfld-contribauthor"/>
        </w:rPr>
        <w:t xml:space="preserve"> Vamos</w:t>
      </w:r>
      <w:r>
        <w:t xml:space="preserve">, and </w:t>
      </w:r>
      <w:r>
        <w:rPr>
          <w:rStyle w:val="nlmgiven-names"/>
        </w:rPr>
        <w:t>C.</w:t>
      </w:r>
      <w:r>
        <w:rPr>
          <w:rStyle w:val="hlfld-contribauthor"/>
        </w:rPr>
        <w:t xml:space="preserve"> Millett</w:t>
      </w:r>
      <w:r>
        <w:t>. (</w:t>
      </w:r>
      <w:r>
        <w:rPr>
          <w:rStyle w:val="nlmyear"/>
        </w:rPr>
        <w:t>2018)</w:t>
      </w:r>
      <w:r>
        <w:t>. “</w:t>
      </w:r>
      <w:r>
        <w:rPr>
          <w:rStyle w:val="nlmarticle-title"/>
        </w:rPr>
        <w:t>Associations of Increase in Public Transport Use with Physical Activity and Adiposity in Older Adults</w:t>
      </w:r>
      <w:r>
        <w:t xml:space="preserve">.” </w:t>
      </w:r>
      <w:r>
        <w:rPr>
          <w:i/>
          <w:iCs/>
        </w:rPr>
        <w:t>International Journal of Behavioral Nutrition and Physical Activity</w:t>
      </w:r>
      <w:r>
        <w:t xml:space="preserve"> 15 (1): </w:t>
      </w:r>
      <w:r>
        <w:rPr>
          <w:rStyle w:val="nlmfpage"/>
        </w:rPr>
        <w:t>31</w:t>
      </w:r>
      <w:r>
        <w:t>.</w:t>
      </w:r>
    </w:p>
    <w:p w:rsidR="00375973" w:rsidRDefault="00375973" w:rsidP="00375973">
      <w:pPr>
        <w:spacing w:line="480" w:lineRule="auto"/>
        <w:ind w:left="720" w:hanging="720"/>
      </w:pPr>
      <w:r>
        <w:rPr>
          <w:rStyle w:val="hlfld-contribauthor"/>
        </w:rPr>
        <w:t xml:space="preserve">Sallis, </w:t>
      </w:r>
      <w:r>
        <w:rPr>
          <w:rStyle w:val="nlmgiven-names"/>
        </w:rPr>
        <w:t>J.</w:t>
      </w:r>
      <w:r>
        <w:t xml:space="preserve">, </w:t>
      </w:r>
      <w:r>
        <w:rPr>
          <w:rStyle w:val="nlmgiven-names"/>
        </w:rPr>
        <w:t>E.</w:t>
      </w:r>
      <w:r>
        <w:rPr>
          <w:rStyle w:val="hlfld-contribauthor"/>
        </w:rPr>
        <w:t xml:space="preserve"> Cerin</w:t>
      </w:r>
      <w:bookmarkStart w:id="0" w:name="_GoBack"/>
      <w:bookmarkEnd w:id="0"/>
      <w:r>
        <w:t xml:space="preserve">, </w:t>
      </w:r>
      <w:r>
        <w:rPr>
          <w:rStyle w:val="nlmgiven-names"/>
        </w:rPr>
        <w:t>T.</w:t>
      </w:r>
      <w:r>
        <w:rPr>
          <w:rStyle w:val="hlfld-contribauthor"/>
        </w:rPr>
        <w:t xml:space="preserve"> Conway</w:t>
      </w:r>
      <w:r>
        <w:t xml:space="preserve">, </w:t>
      </w:r>
      <w:r>
        <w:rPr>
          <w:rStyle w:val="nlmgiven-names"/>
        </w:rPr>
        <w:t>M.</w:t>
      </w:r>
      <w:r>
        <w:rPr>
          <w:rStyle w:val="hlfld-contribauthor"/>
        </w:rPr>
        <w:t xml:space="preserve"> Adams</w:t>
      </w:r>
      <w:r>
        <w:t xml:space="preserve">, </w:t>
      </w:r>
      <w:r>
        <w:rPr>
          <w:rStyle w:val="nlmgiven-names"/>
        </w:rPr>
        <w:t>L.</w:t>
      </w:r>
      <w:r>
        <w:rPr>
          <w:rStyle w:val="hlfld-contribauthor"/>
        </w:rPr>
        <w:t xml:space="preserve"> Frank</w:t>
      </w:r>
      <w:r>
        <w:t xml:space="preserve">, </w:t>
      </w:r>
      <w:r>
        <w:rPr>
          <w:rStyle w:val="nlmgiven-names"/>
        </w:rPr>
        <w:t>M.</w:t>
      </w:r>
      <w:r>
        <w:rPr>
          <w:rStyle w:val="hlfld-contribauthor"/>
        </w:rPr>
        <w:t xml:space="preserve"> Pratt</w:t>
      </w:r>
      <w:r>
        <w:t xml:space="preserve">, </w:t>
      </w:r>
      <w:r>
        <w:rPr>
          <w:rStyle w:val="nlmgiven-names"/>
        </w:rPr>
        <w:t>D.</w:t>
      </w:r>
      <w:r>
        <w:rPr>
          <w:rStyle w:val="hlfld-contribauthor"/>
        </w:rPr>
        <w:t xml:space="preserve"> Salvo</w:t>
      </w:r>
      <w:r>
        <w:t>, et al. (</w:t>
      </w:r>
      <w:r>
        <w:rPr>
          <w:rStyle w:val="nlmyear"/>
        </w:rPr>
        <w:t>2016)</w:t>
      </w:r>
      <w:r>
        <w:t>. “</w:t>
      </w:r>
      <w:r>
        <w:rPr>
          <w:rStyle w:val="nlmarticle-title"/>
        </w:rPr>
        <w:t>Physical Activity in Relation to Urban Environments in 14 Cities Worldwide: A Cross-Sectional Study</w:t>
      </w:r>
      <w:r>
        <w:t xml:space="preserve">.” </w:t>
      </w:r>
      <w:r>
        <w:rPr>
          <w:i/>
          <w:iCs/>
        </w:rPr>
        <w:t>The Lancet</w:t>
      </w:r>
      <w:r>
        <w:t xml:space="preserve"> 387: </w:t>
      </w:r>
      <w:r>
        <w:rPr>
          <w:rStyle w:val="nlmfpage"/>
        </w:rPr>
        <w:t>2207</w:t>
      </w:r>
      <w:r>
        <w:t>–</w:t>
      </w:r>
      <w:r>
        <w:rPr>
          <w:rStyle w:val="nlmlpage"/>
        </w:rPr>
        <w:t>2217</w:t>
      </w:r>
    </w:p>
    <w:p w:rsidR="00375973" w:rsidRDefault="00375973" w:rsidP="00375973">
      <w:pPr>
        <w:spacing w:before="240" w:after="240" w:line="480" w:lineRule="auto"/>
        <w:ind w:left="720" w:hanging="720"/>
      </w:pPr>
    </w:p>
    <w:p w:rsidR="00375973" w:rsidRDefault="00375973" w:rsidP="00375973">
      <w:pPr>
        <w:spacing w:before="240" w:after="240" w:line="480" w:lineRule="auto"/>
        <w:ind w:left="720" w:hanging="720"/>
      </w:pPr>
    </w:p>
    <w:sectPr w:rsidR="00375973">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79" w:rsidRDefault="00FD7F79" w:rsidP="00375973">
      <w:r>
        <w:separator/>
      </w:r>
    </w:p>
  </w:endnote>
  <w:endnote w:type="continuationSeparator" w:id="0">
    <w:p w:rsidR="00FD7F79" w:rsidRDefault="00FD7F79" w:rsidP="0037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79" w:rsidRDefault="00FD7F79" w:rsidP="00375973">
      <w:r>
        <w:separator/>
      </w:r>
    </w:p>
  </w:footnote>
  <w:footnote w:type="continuationSeparator" w:id="0">
    <w:p w:rsidR="00FD7F79" w:rsidRDefault="00FD7F79" w:rsidP="003759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921924"/>
      <w:docPartObj>
        <w:docPartGallery w:val="Page Numbers (Top of Page)"/>
        <w:docPartUnique/>
      </w:docPartObj>
    </w:sdtPr>
    <w:sdtEndPr>
      <w:rPr>
        <w:noProof/>
      </w:rPr>
    </w:sdtEndPr>
    <w:sdtContent>
      <w:p w:rsidR="00375973" w:rsidRDefault="00375973">
        <w:pPr>
          <w:pStyle w:val="Header"/>
          <w:jc w:val="right"/>
        </w:pPr>
        <w:r>
          <w:fldChar w:fldCharType="begin"/>
        </w:r>
        <w:r>
          <w:instrText xml:space="preserve"> PAGE   \* MERGEFORMAT </w:instrText>
        </w:r>
        <w:r>
          <w:fldChar w:fldCharType="separate"/>
        </w:r>
        <w:r w:rsidR="00001183">
          <w:rPr>
            <w:noProof/>
          </w:rPr>
          <w:t>4</w:t>
        </w:r>
        <w:r>
          <w:rPr>
            <w:noProof/>
          </w:rPr>
          <w:fldChar w:fldCharType="end"/>
        </w:r>
      </w:p>
    </w:sdtContent>
  </w:sdt>
  <w:p w:rsidR="00375973" w:rsidRDefault="00375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D0"/>
    <w:rsid w:val="00001183"/>
    <w:rsid w:val="00027AD0"/>
    <w:rsid w:val="00082DD5"/>
    <w:rsid w:val="00375973"/>
    <w:rsid w:val="00D150BA"/>
    <w:rsid w:val="00F91EEF"/>
    <w:rsid w:val="00FD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0034"/>
  <w15:docId w15:val="{01F193DF-5349-40A4-AF05-A125C010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hlfld-contribauthor">
    <w:name w:val="hlfld-contribauthor"/>
    <w:basedOn w:val="DefaultParagraphFont"/>
    <w:rsid w:val="00375973"/>
  </w:style>
  <w:style w:type="character" w:customStyle="1" w:styleId="nlmgiven-names">
    <w:name w:val="nlm_given-names"/>
    <w:basedOn w:val="DefaultParagraphFont"/>
    <w:rsid w:val="00375973"/>
  </w:style>
  <w:style w:type="character" w:customStyle="1" w:styleId="nlmyear">
    <w:name w:val="nlm_year"/>
    <w:basedOn w:val="DefaultParagraphFont"/>
    <w:rsid w:val="00375973"/>
  </w:style>
  <w:style w:type="character" w:customStyle="1" w:styleId="nlmarticle-title">
    <w:name w:val="nlm_article-title"/>
    <w:basedOn w:val="DefaultParagraphFont"/>
    <w:rsid w:val="00375973"/>
  </w:style>
  <w:style w:type="character" w:customStyle="1" w:styleId="nlmfpage">
    <w:name w:val="nlm_fpage"/>
    <w:basedOn w:val="DefaultParagraphFont"/>
    <w:rsid w:val="00375973"/>
  </w:style>
  <w:style w:type="character" w:customStyle="1" w:styleId="nlmlpage">
    <w:name w:val="nlm_lpage"/>
    <w:basedOn w:val="DefaultParagraphFont"/>
    <w:rsid w:val="00375973"/>
  </w:style>
  <w:style w:type="paragraph" w:styleId="Header">
    <w:name w:val="header"/>
    <w:basedOn w:val="Normal"/>
    <w:link w:val="HeaderChar"/>
    <w:uiPriority w:val="99"/>
    <w:unhideWhenUsed/>
    <w:rsid w:val="00375973"/>
    <w:pPr>
      <w:tabs>
        <w:tab w:val="center" w:pos="4680"/>
        <w:tab w:val="right" w:pos="9360"/>
      </w:tabs>
    </w:pPr>
  </w:style>
  <w:style w:type="character" w:customStyle="1" w:styleId="HeaderChar">
    <w:name w:val="Header Char"/>
    <w:basedOn w:val="DefaultParagraphFont"/>
    <w:link w:val="Header"/>
    <w:uiPriority w:val="99"/>
    <w:rsid w:val="00375973"/>
    <w:rPr>
      <w:sz w:val="24"/>
      <w:szCs w:val="24"/>
    </w:rPr>
  </w:style>
  <w:style w:type="paragraph" w:styleId="Footer">
    <w:name w:val="footer"/>
    <w:basedOn w:val="Normal"/>
    <w:link w:val="FooterChar"/>
    <w:uiPriority w:val="99"/>
    <w:unhideWhenUsed/>
    <w:rsid w:val="00375973"/>
    <w:pPr>
      <w:tabs>
        <w:tab w:val="center" w:pos="4680"/>
        <w:tab w:val="right" w:pos="9360"/>
      </w:tabs>
    </w:pPr>
  </w:style>
  <w:style w:type="character" w:customStyle="1" w:styleId="FooterChar">
    <w:name w:val="Footer Char"/>
    <w:basedOn w:val="DefaultParagraphFont"/>
    <w:link w:val="Footer"/>
    <w:uiPriority w:val="99"/>
    <w:rsid w:val="003759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3</cp:revision>
  <dcterms:created xsi:type="dcterms:W3CDTF">2021-07-18T21:13:00Z</dcterms:created>
  <dcterms:modified xsi:type="dcterms:W3CDTF">2021-07-18T21:14:00Z</dcterms:modified>
</cp:coreProperties>
</file>